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F2" w:rsidRDefault="008F0AF2" w:rsidP="008F0AF2">
      <w:pPr>
        <w:jc w:val="center"/>
        <w:rPr>
          <w:rFonts w:ascii="方正小标宋简体" w:eastAsia="方正小标宋简体" w:hAnsi="黑体" w:cs="Times New Roman"/>
          <w:sz w:val="32"/>
          <w:szCs w:val="28"/>
        </w:rPr>
      </w:pPr>
      <w:r w:rsidRPr="008F0AF2">
        <w:rPr>
          <w:rFonts w:ascii="方正小标宋简体" w:eastAsia="方正小标宋简体" w:hAnsi="黑体" w:cs="Times New Roman" w:hint="eastAsia"/>
          <w:sz w:val="32"/>
          <w:szCs w:val="28"/>
        </w:rPr>
        <w:t>宁波职业技术学院在线开放课程建设要求与技术规范</w:t>
      </w:r>
    </w:p>
    <w:p w:rsidR="008F0AF2" w:rsidRPr="00582EA4" w:rsidRDefault="008F0AF2" w:rsidP="008F0AF2">
      <w:pPr>
        <w:ind w:firstLineChars="200" w:firstLine="560"/>
        <w:rPr>
          <w:rFonts w:ascii="楷体" w:eastAsia="楷体" w:hAnsi="楷体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仿宋_GB2312" w:hAnsi="Times New Roman" w:cs="Times New Roman" w:hint="eastAsia"/>
          <w:sz w:val="28"/>
          <w:szCs w:val="28"/>
        </w:rPr>
        <w:t>宁波职业技术学院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在线开放课程包括职业教育专业教学资源库、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MOOC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、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SPOC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以及其他形式的在线开放课程。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属于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职业教育专业教学资源库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的标准化课程按照该资源库建设规划及标准执行，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M</w:t>
      </w:r>
      <w:r>
        <w:rPr>
          <w:rFonts w:ascii="Times New Roman" w:eastAsia="仿宋_GB2312" w:hAnsi="Times New Roman" w:cs="Times New Roman"/>
          <w:sz w:val="28"/>
          <w:szCs w:val="28"/>
        </w:rPr>
        <w:t>OOC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、</w:t>
      </w:r>
      <w:r>
        <w:rPr>
          <w:rFonts w:ascii="Times New Roman" w:eastAsia="仿宋_GB2312" w:hAnsi="Times New Roman" w:cs="Times New Roman"/>
          <w:sz w:val="28"/>
          <w:szCs w:val="28"/>
        </w:rPr>
        <w:t>SPOC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及其他形式的在线开放课程按如下要求执行。</w:t>
      </w:r>
    </w:p>
    <w:p w:rsidR="008F0AF2" w:rsidRPr="00132030" w:rsidRDefault="008F0AF2" w:rsidP="008F0AF2">
      <w:pPr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 w:rsidRPr="00132030">
        <w:rPr>
          <w:rFonts w:ascii="黑体" w:eastAsia="黑体" w:hAnsi="黑体" w:cs="Times New Roman"/>
          <w:sz w:val="28"/>
          <w:szCs w:val="28"/>
        </w:rPr>
        <w:t>一、课程建设总体要求</w:t>
      </w:r>
    </w:p>
    <w:p w:rsidR="008F0AF2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课程理念与目标定位。拥有先进的教学理念、教学改革热情与资源共享的意识。了解网络教学规律、学生的网络学习与认知规律、交互式学习课程的特性，在教学中积极推进信息技术与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课堂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教学的深度融合。了解该课程主要学习群体的需求，有明确的课程学习目标。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应以用户需求为导向、结合专业特点、统筹资源建设以及共建共享机制开展课程建设。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根据每门课程的育人功能，把社会主义核心价值观的要求，把实现民族复兴的理想和责任融入课程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建设和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教学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应用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之中。</w:t>
      </w:r>
    </w:p>
    <w:p w:rsidR="008F0AF2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教学内容与资源。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所建课程应贯彻专业教学标准、展现教学内容与课程体系改革成果、融入创新创业教育、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充分发掘和运用各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专业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蕴含的思想政治教育资源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，满足</w:t>
      </w:r>
      <w:r w:rsidRPr="000449EB">
        <w:rPr>
          <w:rFonts w:ascii="Times New Roman" w:eastAsia="仿宋_GB2312" w:hAnsi="Times New Roman" w:cs="Times New Roman" w:hint="eastAsia"/>
          <w:sz w:val="28"/>
          <w:szCs w:val="28"/>
        </w:rPr>
        <w:t>网络学习和线上线下混合教学的需要；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根据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职业教育要求，明确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教学目标、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专业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特点、学生认知规律及教学方式，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涵盖专业教学标准规定内容，颗粒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化组织教学内容及资源、设置教学情境，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重点建设基于</w:t>
      </w:r>
      <w:r w:rsidRPr="00101554">
        <w:rPr>
          <w:rFonts w:ascii="Times New Roman" w:eastAsia="仿宋_GB2312" w:hAnsi="Times New Roman" w:cs="Times New Roman" w:hint="eastAsia"/>
          <w:sz w:val="28"/>
          <w:szCs w:val="28"/>
        </w:rPr>
        <w:t>典型工作任务或重点技能训练模块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的素材，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形成围绕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专业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知识点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（技能点）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展开、清晰表达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职业教育培养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框架的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素材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集。知识点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（技能点）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覆盖面达到课程定位的要求，教学内容适合学习者认知特征，理论联系实际，内容实用性、实践性和时效性强，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融知识传授、能力培养于一体。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>
        <w:rPr>
          <w:rFonts w:ascii="Times New Roman" w:eastAsia="仿宋_GB2312" w:hAnsi="Times New Roman" w:cs="Times New Roman" w:hint="eastAsia"/>
          <w:sz w:val="28"/>
          <w:szCs w:val="28"/>
        </w:rPr>
        <w:t>应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确保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建设课程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在政治立场、价值导向、科学性等方面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的导向正确</w:t>
      </w:r>
      <w:r w:rsidRPr="00222423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应以学生为中心组织学习内容、建设学习资源，课程资源应力求丰富多样，合理使用文本、图形（图像）、音频、视频、动画和虚拟仿真等各类素材，</w:t>
      </w:r>
      <w:r w:rsidRPr="00967E6C">
        <w:rPr>
          <w:rFonts w:ascii="Times New Roman" w:eastAsia="仿宋_GB2312" w:hAnsi="Times New Roman" w:cs="Times New Roman" w:hint="eastAsia"/>
          <w:sz w:val="28"/>
          <w:szCs w:val="28"/>
        </w:rPr>
        <w:t>提高视频类、动画类、虚拟仿真类资源的占比。视频类素材注重叙事性和完整性，以“微课程”为主要形式，用于讲解知识点或技能点；动画类素材注重逻辑规律运动的形象表达，将抽象微观黑箱的概念可视化，用于演示抽象概念、复杂结构、复杂运动等；虚拟仿真类素材注重现场感和体验，主要用于展现“看不见、进不去、动不得、难再现”等不能开展现场教学的场景环境过程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每个短视频以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5-15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分钟时长为宜，针对各模块知识点或专题应设置内嵌测试的作业题或讨论题，以帮助学习者掌握学习内容或测试学习者学习效果。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每门课程应有负责人介绍、课程介绍、教学大纲、预备知识、教学辅导、参考资料、考核方式、在线作业、在线题库和在线答疑等。课程设置应与课堂教学的要求相当。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设计与方法。要遵循有效教学的基本规律，结合在线开放课程教学的特征与需求进行整体的教学设计。围绕教学目标精心设计教学活动，科学规划在线学习资源，明确学业评价策略和学习激励措施。课程设计、教学安排和呈现方式符合学习者移动学习和混合式教学的需求。开展在线学习与课堂教学相结合、翻转课堂等多种方式的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课堂教学模式，优先支持具有混合式学习等改革实践经验的课程。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活动与评价。要重视学习任务与活动设计，积极开展案例式、混合式、探究式等多种新型教学模式的学习，通过网页插入式在线测试、即时网上辅导反馈、线上线下讨论、网上作业提交和批改、网上社区讨论等，促进师生之间、学生之间进行资源共享、问题交流和协作学习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建立多元化学习评价体系，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探索线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上和线下融合，过程性评价与终结性评价相结合的多元化考核评价模式，促进学生自主性学习、过程性学习和体验式学习。课程成绩由过程性考核和终结性考核综合评定。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5.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教学效果与影响。要注重对教学效果的跟踪评价并开展教学研究工作。基于大数据信息采集分析，全程记录和跟踪教师的教学和学生的学习过程、内容、反馈，全面跟踪和掌握每个学生的个性特点、学习行为，改进学校及教师的教学质量，促进因材施教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充分发挥课程共享作用，推进在线开放课程学分认定和学分管理制度创新。支持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与其他院校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之间在合作、共赢、协议的基础上实现在线开放共享课程的互认。课程的初始学分由推荐该课程的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学校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设定，其它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学校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可在双方协议的基础上，根据本校专业设置和课程学分设置标准自行认定学分。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团队支持与服务。课程建设负责人应为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学校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正式聘用，具有丰富教学经验和较高学术造诣的教师，课程组成员均在教学一线长期承担本课程教学任务。支持和鼓励教学名师、知名专家主讲开放课程。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除主讲教师外，还需配备必要助理教师和现代教育技术人员，能长期在线服务课程建设，承担课程内容更新、在线辅导、答疑等。课程正式运行后，能保证每学年都对外校开放。课程团队应负责课程相关教师的培训及教学研讨工作。通过在线开放课程建设，形成一支教学、辅导、设计和技术支持等结构合理、人员稳定、教学水平高、教学效果好、资源设计和制作能力强的优秀课程教学团队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7.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信息安全及知识产权保障。严格遵守国家网络与信息安全管理规范，依法依规开展教学活动，实施对课程内容、讨论内容、学习过程内容的有效监管，防范和及时制止网络有害信息的传播。重视版权和知识产权问题，构建课程内容所使用的图片、音视频等素材应注明出处。相关高校、课程建设团队均须签订平等互利的知识产权保障协议，明确各方权利和义务，切实保障各方权益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8.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课程运行与管理。立项课程需在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学校认可的在线开放课程公共服务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平台上运行，提供授课视频以及各种文字形式的教学资源，并建设网上授课所需的所有资源，能够开展在线学习、作业、考试、答疑和讨论等。</w:t>
      </w:r>
    </w:p>
    <w:p w:rsidR="008F0AF2" w:rsidRPr="00132030" w:rsidRDefault="008F0AF2" w:rsidP="00132030">
      <w:pPr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 w:rsidRPr="00132030">
        <w:rPr>
          <w:rFonts w:ascii="黑体" w:eastAsia="黑体" w:hAnsi="黑体" w:cs="Times New Roman"/>
          <w:sz w:val="28"/>
          <w:szCs w:val="28"/>
        </w:rPr>
        <w:t>二、课程视频制作规范</w:t>
      </w:r>
    </w:p>
    <w:p w:rsidR="008F0AF2" w:rsidRPr="00132030" w:rsidRDefault="008F0AF2" w:rsidP="008F0AF2">
      <w:pPr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132030">
        <w:rPr>
          <w:rFonts w:ascii="楷体" w:eastAsia="楷体" w:hAnsi="楷体" w:cs="Times New Roman"/>
          <w:sz w:val="28"/>
          <w:szCs w:val="28"/>
        </w:rPr>
        <w:t>（一）视频内容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屏幕图像的构图合理，画面主体突出。人像及肢体动作以及配合讲授选用的板书、画板、教具实物、模型和实验设备等均不能超出镜头所及范围。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演播室使用的背景采用彩色喷绘或电脑虚拟、实景等背景。建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议采用彩色喷绘背景。背景的颜色、图案不易过多，应保持静态，画面应简洁、明快，有利于营造课堂气氛。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3.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授课视频中主讲教师应姿势端正，衣着整洁大方，避免</w:t>
      </w:r>
      <w:r w:rsidR="00AA085C">
        <w:rPr>
          <w:rFonts w:ascii="Times New Roman" w:eastAsia="仿宋_GB2312" w:hAnsi="Times New Roman" w:cs="Times New Roman" w:hint="eastAsia"/>
          <w:sz w:val="28"/>
          <w:szCs w:val="28"/>
        </w:rPr>
        <w:t>穿着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细条纹、细格子、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密点</w:t>
      </w:r>
      <w:r w:rsidR="00AA085C">
        <w:rPr>
          <w:rFonts w:ascii="Times New Roman" w:eastAsia="仿宋_GB2312" w:hAnsi="Times New Roman" w:cs="Times New Roman" w:hint="eastAsia"/>
          <w:sz w:val="28"/>
          <w:szCs w:val="28"/>
        </w:rPr>
        <w:t>花纹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的衣服。主讲教师目光应与摄像头平视，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教态</w:t>
      </w:r>
      <w:r w:rsidR="00AA085C">
        <w:rPr>
          <w:rFonts w:ascii="Times New Roman" w:eastAsia="仿宋_GB2312" w:hAnsi="Times New Roman" w:cs="Times New Roman" w:hint="eastAsia"/>
          <w:sz w:val="28"/>
          <w:szCs w:val="28"/>
        </w:rPr>
        <w:t>端庄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大方、语言流畅、语速适中、肢体语言适度，不应较长时间仰视或俯视。主讲教师应使用普通话，用语规范，语言表述清晰，流畅、简洁，避免重复性口头语，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语速较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平时课堂授课稍快。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4.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使用资料、图片、外景实拍、实验和表演等形象化教学手段，应符合教学内容要求，与讲授内容联系紧密，手段选用恰当。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5.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选用影视作品或自拍素材，应注明素材来源。影视作品或自拍素材中涉及人物访谈内容时，除应加注人物介绍外，还应采用滚动式同声字幕。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6.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选用的资料、图片等素材画面应清楚，对于历史资料、图片应进行再加工。选用的资料、图片等素材应注明素材来源及原始信息（如字画的作品、生卒年月，影视片断的作品名称、创作年代等信息）。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7.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动画的设计与使用，要与课程内容相贴切，能够发挥良好的教学效果。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8.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动画的实现须流畅、合理、图像清晰，具有较强的可视性。</w:t>
      </w:r>
    </w:p>
    <w:p w:rsidR="008F0AF2" w:rsidRPr="00132030" w:rsidRDefault="008F0AF2" w:rsidP="008F0AF2">
      <w:pPr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132030">
        <w:rPr>
          <w:rFonts w:ascii="楷体" w:eastAsia="楷体" w:hAnsi="楷体" w:cs="Times New Roman"/>
          <w:sz w:val="28"/>
          <w:szCs w:val="28"/>
        </w:rPr>
        <w:t>（二）视频技术规格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1.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视频信号源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）稳定性：全片图像同步性能稳定，无失步现象，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CTL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同步控制信号必须连续：图像无抖动跳跃，色彩无突变，编辑点处图像稳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定。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）信噪比：图像信噪比不低于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55dB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，无明显杂波。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）色调：白平衡正确，无明显偏色，多机拍摄的镜头衔接处无明显色差。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）视频电平：视频全讯号幅度为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1Ⅴp-p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，最大不超过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1.1Ⅴ p-p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。其中，消隐电平为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0V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时，白电平幅度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0.7Ⅴp-p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，同步信号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-0.3V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，色同步信号幅度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0.3V p-p (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以消隐线上下对称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)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，全片一致。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2.</w:t>
      </w:r>
      <w:r>
        <w:rPr>
          <w:rFonts w:ascii="Times New Roman" w:eastAsia="仿宋_GB2312" w:hAnsi="Times New Roman" w:cs="Times New Roman"/>
          <w:sz w:val="28"/>
          <w:szCs w:val="28"/>
        </w:rPr>
        <w:t xml:space="preserve">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音频信号源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）声道：中文内容音频信号记录于第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声道，音乐、音效、同期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声记录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于第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声道，若有其他文字解说记录于第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声道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(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如录音设备无第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声道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,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则录于第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声道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)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）电平指标：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-2db —— -8db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声音应无明显失真、放音过冲、过弱。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）音频信噪比不低于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48db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）声音和画面要求同步，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无交流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声或其他杂音等缺陷。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）伴音清晰、饱满、圆润，无失真、噪声杂音干扰、音量忽大忽小现象。解说声与现场声无明显比例失调，解说声与背景音乐无明显比例失调。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3.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视频压缩格式及技术参数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）视频压缩采用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H.264/AVC (MPEG-4 Part10)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编码、使用二次编码、不包含字幕的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MP4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格式。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）视频码流率：动态码流的最低码率不得低于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1024Kb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）视频分辨率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前期采用标清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4:3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拍摄时，请设定为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 720×576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前期采用高清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16:9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拍摄时，请设定为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 1280×720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1920×1080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）视频画幅宽高比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分辨率设定为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 720×576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的，请选定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 4:3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分辨率设定为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1280×720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或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1920×1080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的，请选定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 16:9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视频帧率为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25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帧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/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秒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6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）扫描方式采用逐行扫描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4.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音频压缩格式及技术参数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）音频压缩采用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AAC(MPEG4 Part3)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格式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）采样率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48KHz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）音频码流率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128Kbps (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恒定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)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）必须是双声道，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必须做混音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处理。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5.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封装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视频采用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MP4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封装，单个视频文件小于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200MB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字幕文件采用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SRT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格式，中英文字幕需分成两个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STR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文件。</w:t>
      </w:r>
    </w:p>
    <w:p w:rsidR="008F0AF2" w:rsidRPr="00132030" w:rsidRDefault="008F0AF2" w:rsidP="008F0AF2">
      <w:pPr>
        <w:ind w:firstLineChars="200" w:firstLine="560"/>
        <w:rPr>
          <w:rFonts w:ascii="楷体" w:eastAsia="楷体" w:hAnsi="楷体" w:cs="Times New Roman"/>
          <w:sz w:val="28"/>
          <w:szCs w:val="28"/>
        </w:rPr>
      </w:pPr>
      <w:r w:rsidRPr="00132030">
        <w:rPr>
          <w:rFonts w:ascii="楷体" w:eastAsia="楷体" w:hAnsi="楷体" w:cs="Times New Roman"/>
          <w:sz w:val="28"/>
          <w:szCs w:val="28"/>
        </w:rPr>
        <w:t>（三）演示文稿（PPT）制作规范</w:t>
      </w:r>
    </w:p>
    <w:p w:rsidR="008F0AF2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1.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制作原则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）演示文稿（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PPT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）要求集文字、图形、图像、声音以及视频等多种媒体元素于一体，一般不使用纯文字的演示文稿（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PPT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）页面设置要求符合高清格式比例，幻灯片大小为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全屏显示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16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：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9”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）整体效果应风格统一、色彩协调、美观大方。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2.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字体与字号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字体与字号参照下表：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1417"/>
        <w:gridCol w:w="1418"/>
        <w:gridCol w:w="1559"/>
        <w:gridCol w:w="1355"/>
      </w:tblGrid>
      <w:tr w:rsidR="008F0AF2" w:rsidTr="00935C60">
        <w:trPr>
          <w:trHeight w:val="567"/>
        </w:trPr>
        <w:tc>
          <w:tcPr>
            <w:tcW w:w="846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类型</w:t>
            </w:r>
          </w:p>
        </w:tc>
        <w:tc>
          <w:tcPr>
            <w:tcW w:w="1701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大标题</w:t>
            </w:r>
          </w:p>
        </w:tc>
        <w:tc>
          <w:tcPr>
            <w:tcW w:w="1417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主讲信息</w:t>
            </w:r>
          </w:p>
        </w:tc>
        <w:tc>
          <w:tcPr>
            <w:tcW w:w="1418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一级标题</w:t>
            </w:r>
          </w:p>
        </w:tc>
        <w:tc>
          <w:tcPr>
            <w:tcW w:w="1559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正文</w:t>
            </w:r>
          </w:p>
        </w:tc>
        <w:tc>
          <w:tcPr>
            <w:tcW w:w="1355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字幕</w:t>
            </w:r>
          </w:p>
        </w:tc>
      </w:tr>
      <w:tr w:rsidR="008F0AF2" w:rsidTr="00935C60">
        <w:trPr>
          <w:trHeight w:val="567"/>
        </w:trPr>
        <w:tc>
          <w:tcPr>
            <w:tcW w:w="846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字体</w:t>
            </w:r>
          </w:p>
        </w:tc>
        <w:tc>
          <w:tcPr>
            <w:tcW w:w="1701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大黑、时尚中黑、大隶书</w:t>
            </w:r>
          </w:p>
        </w:tc>
        <w:tc>
          <w:tcPr>
            <w:tcW w:w="1417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黑体</w:t>
            </w:r>
          </w:p>
        </w:tc>
        <w:tc>
          <w:tcPr>
            <w:tcW w:w="1418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黑体、魏碑、大宋</w:t>
            </w:r>
          </w:p>
        </w:tc>
        <w:tc>
          <w:tcPr>
            <w:tcW w:w="1559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雅黑、中宋</w:t>
            </w:r>
          </w:p>
        </w:tc>
        <w:tc>
          <w:tcPr>
            <w:tcW w:w="1355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雅黑</w:t>
            </w:r>
          </w:p>
        </w:tc>
      </w:tr>
      <w:tr w:rsidR="008F0AF2" w:rsidTr="00935C60">
        <w:trPr>
          <w:trHeight w:val="567"/>
        </w:trPr>
        <w:tc>
          <w:tcPr>
            <w:tcW w:w="846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字号</w:t>
            </w:r>
          </w:p>
        </w:tc>
        <w:tc>
          <w:tcPr>
            <w:tcW w:w="1701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50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～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70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磅</w:t>
            </w:r>
          </w:p>
        </w:tc>
        <w:tc>
          <w:tcPr>
            <w:tcW w:w="1417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36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～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40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磅</w:t>
            </w:r>
          </w:p>
        </w:tc>
        <w:tc>
          <w:tcPr>
            <w:tcW w:w="1418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36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～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40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磅</w:t>
            </w:r>
          </w:p>
        </w:tc>
        <w:tc>
          <w:tcPr>
            <w:tcW w:w="1559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24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～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32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磅</w:t>
            </w:r>
          </w:p>
        </w:tc>
        <w:tc>
          <w:tcPr>
            <w:tcW w:w="1355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32</w:t>
            </w: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磅</w:t>
            </w:r>
          </w:p>
        </w:tc>
      </w:tr>
      <w:tr w:rsidR="008F0AF2" w:rsidTr="00935C60">
        <w:trPr>
          <w:trHeight w:val="567"/>
        </w:trPr>
        <w:tc>
          <w:tcPr>
            <w:tcW w:w="846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黑体" w:eastAsia="黑体" w:hAnsi="黑体" w:cs="Times New Roman"/>
                <w:sz w:val="24"/>
                <w:szCs w:val="28"/>
              </w:rPr>
            </w:pPr>
            <w:r w:rsidRPr="00874C01">
              <w:rPr>
                <w:rFonts w:ascii="黑体" w:eastAsia="黑体" w:hAnsi="黑体" w:cs="Times New Roman"/>
                <w:sz w:val="24"/>
                <w:szCs w:val="28"/>
              </w:rPr>
              <w:t>应用</w:t>
            </w:r>
          </w:p>
        </w:tc>
        <w:tc>
          <w:tcPr>
            <w:tcW w:w="1701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上下左右居中</w:t>
            </w:r>
          </w:p>
        </w:tc>
        <w:tc>
          <w:tcPr>
            <w:tcW w:w="1417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左右居中</w:t>
            </w:r>
          </w:p>
        </w:tc>
        <w:tc>
          <w:tcPr>
            <w:tcW w:w="1418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左右居中</w:t>
            </w:r>
          </w:p>
        </w:tc>
        <w:tc>
          <w:tcPr>
            <w:tcW w:w="1559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左对齐或居中</w:t>
            </w:r>
          </w:p>
        </w:tc>
        <w:tc>
          <w:tcPr>
            <w:tcW w:w="1355" w:type="dxa"/>
            <w:vAlign w:val="center"/>
          </w:tcPr>
          <w:p w:rsidR="008F0AF2" w:rsidRPr="00874C01" w:rsidRDefault="008F0AF2" w:rsidP="00935C60">
            <w:pPr>
              <w:jc w:val="center"/>
              <w:rPr>
                <w:rFonts w:ascii="Times New Roman" w:eastAsia="仿宋_GB2312" w:hAnsi="Times New Roman" w:cs="Times New Roman"/>
                <w:sz w:val="24"/>
                <w:szCs w:val="28"/>
              </w:rPr>
            </w:pPr>
            <w:r w:rsidRPr="00874C01">
              <w:rPr>
                <w:rFonts w:ascii="Times New Roman" w:eastAsia="仿宋_GB2312" w:hAnsi="Times New Roman" w:cs="Times New Roman"/>
                <w:sz w:val="24"/>
                <w:szCs w:val="28"/>
              </w:rPr>
              <w:t>左右居中</w:t>
            </w:r>
          </w:p>
        </w:tc>
      </w:tr>
    </w:tbl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3.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版心与版式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每一页面内容相对完整，文字精炼、概括性强，信息量适中，内容占总页面的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65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％～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75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％为宜，每页四周留出空白，应避免内容顶到页面边缘，边界安全区域分别为左、右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130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像素内，上、下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90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像素内。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页面内容正确、科学，表达准确，用语规范，无政治性错误与错别字。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尽量增加页面内容的可视化，信息呈现符合视觉习惯与视觉心理，可通过改变颜色、字体等加粗等方法对重点内容进行标注，引导学习者注意。页面设置符合高清格式比例，幻灯片大小为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“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全屏显示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16:9”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4.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背景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）背景色以简洁适中饱和度为主（颜色保持在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一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至两种色系内）；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）背景和场景不宜变化过多；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）文字、图形等内容应与背景对比醒目。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lastRenderedPageBreak/>
        <w:t xml:space="preserve">5.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色调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）色彩的选配应与课程科目相吻合；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）每一短视频或一系列短视频在配色上应体现出系统性，可选一种主色调再加上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一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至两种辅助色进行匹配；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）同一屏</w:t>
      </w:r>
      <w:proofErr w:type="gramStart"/>
      <w:r w:rsidRPr="0044070E">
        <w:rPr>
          <w:rFonts w:ascii="Times New Roman" w:eastAsia="仿宋_GB2312" w:hAnsi="Times New Roman" w:cs="Times New Roman"/>
          <w:sz w:val="28"/>
          <w:szCs w:val="28"/>
        </w:rPr>
        <w:t>里文字</w:t>
      </w:r>
      <w:proofErr w:type="gramEnd"/>
      <w:r w:rsidRPr="0044070E">
        <w:rPr>
          <w:rFonts w:ascii="Times New Roman" w:eastAsia="仿宋_GB2312" w:hAnsi="Times New Roman" w:cs="Times New Roman"/>
          <w:sz w:val="28"/>
          <w:szCs w:val="28"/>
        </w:rPr>
        <w:t>不宜超出三种颜色。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6.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字距与行距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）标题：在文字少的情形下，字距放宽一倍体现舒展性；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）正文：行距使用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行或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1.5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行，便于阅读。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7.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配图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）图像应清晰并能反映出内容主题思想，分辨率应上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72dpi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以上；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）图片不可加长或压窄，防止变形；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）图形使用应通俗易懂，便于理解。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8.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修饰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1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）细线条的运用比粗线条更显精致；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2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）扁平式的装饰更接近时代审美；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（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3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）有趣味的装饰通常更能吸引人。</w:t>
      </w:r>
    </w:p>
    <w:p w:rsidR="008F0AF2" w:rsidRPr="0044070E" w:rsidRDefault="008F0AF2" w:rsidP="008F0AF2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 xml:space="preserve">9. 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版权来源</w:t>
      </w:r>
    </w:p>
    <w:p w:rsidR="008F0AF2" w:rsidRPr="0044070E" w:rsidRDefault="008F0AF2" w:rsidP="00CF4284">
      <w:pPr>
        <w:ind w:firstLineChars="200" w:firstLine="560"/>
        <w:rPr>
          <w:rFonts w:ascii="Times New Roman" w:eastAsia="仿宋_GB2312" w:hAnsi="Times New Roman" w:cs="Times New Roman"/>
          <w:sz w:val="28"/>
          <w:szCs w:val="28"/>
        </w:rPr>
      </w:pPr>
      <w:r w:rsidRPr="0044070E">
        <w:rPr>
          <w:rFonts w:ascii="Times New Roman" w:eastAsia="仿宋_GB2312" w:hAnsi="Times New Roman" w:cs="Times New Roman"/>
          <w:sz w:val="28"/>
          <w:szCs w:val="28"/>
        </w:rPr>
        <w:t>素材选用注意版权，涉及版权问题须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在显著位置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加入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“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版权来源</w:t>
      </w:r>
      <w:r>
        <w:rPr>
          <w:rFonts w:ascii="Times New Roman" w:eastAsia="仿宋_GB2312" w:hAnsi="Times New Roman" w:cs="Times New Roman" w:hint="eastAsia"/>
          <w:sz w:val="28"/>
          <w:szCs w:val="28"/>
        </w:rPr>
        <w:t>”</w:t>
      </w:r>
      <w:r w:rsidRPr="0044070E">
        <w:rPr>
          <w:rFonts w:ascii="Times New Roman" w:eastAsia="仿宋_GB2312" w:hAnsi="Times New Roman" w:cs="Times New Roman"/>
          <w:sz w:val="28"/>
          <w:szCs w:val="28"/>
        </w:rPr>
        <w:t>信息。</w:t>
      </w:r>
    </w:p>
    <w:p w:rsidR="0080061B" w:rsidRPr="008F0AF2" w:rsidRDefault="008700FB"/>
    <w:sectPr w:rsidR="0080061B" w:rsidRPr="008F0AF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0FB" w:rsidRDefault="008700FB" w:rsidP="000D2BBF">
      <w:r>
        <w:separator/>
      </w:r>
    </w:p>
  </w:endnote>
  <w:endnote w:type="continuationSeparator" w:id="0">
    <w:p w:rsidR="008700FB" w:rsidRDefault="008700FB" w:rsidP="000D2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8052566"/>
      <w:docPartObj>
        <w:docPartGallery w:val="Page Numbers (Bottom of Page)"/>
        <w:docPartUnique/>
      </w:docPartObj>
    </w:sdtPr>
    <w:sdtEndPr/>
    <w:sdtContent>
      <w:p w:rsidR="000D2BBF" w:rsidRDefault="000D2B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0D2BBF" w:rsidRDefault="000D2BB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0FB" w:rsidRDefault="008700FB" w:rsidP="000D2BBF">
      <w:r>
        <w:separator/>
      </w:r>
    </w:p>
  </w:footnote>
  <w:footnote w:type="continuationSeparator" w:id="0">
    <w:p w:rsidR="008700FB" w:rsidRDefault="008700FB" w:rsidP="000D2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F2"/>
    <w:rsid w:val="000D2BBF"/>
    <w:rsid w:val="00132030"/>
    <w:rsid w:val="00264ED2"/>
    <w:rsid w:val="003170CA"/>
    <w:rsid w:val="0040597A"/>
    <w:rsid w:val="0049429B"/>
    <w:rsid w:val="00611832"/>
    <w:rsid w:val="00672C53"/>
    <w:rsid w:val="008700FB"/>
    <w:rsid w:val="008F0AF2"/>
    <w:rsid w:val="00AA085C"/>
    <w:rsid w:val="00C6388D"/>
    <w:rsid w:val="00C97C88"/>
    <w:rsid w:val="00CF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51E52A6-FA00-4CDD-83CE-F07BB48FE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0AF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2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D2BB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D2B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D2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QM</dc:creator>
  <cp:keywords/>
  <dc:description/>
  <cp:lastModifiedBy>G QM</cp:lastModifiedBy>
  <cp:revision>7</cp:revision>
  <dcterms:created xsi:type="dcterms:W3CDTF">2018-09-23T02:38:00Z</dcterms:created>
  <dcterms:modified xsi:type="dcterms:W3CDTF">2018-10-09T06:49:00Z</dcterms:modified>
</cp:coreProperties>
</file>